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>Số:            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D10E21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743AAE">
              <w:rPr>
                <w:i/>
                <w:sz w:val="26"/>
                <w:szCs w:val="28"/>
              </w:rPr>
              <w:t>1</w:t>
            </w:r>
            <w:r w:rsidR="00D10E21">
              <w:rPr>
                <w:i/>
                <w:sz w:val="26"/>
                <w:szCs w:val="28"/>
              </w:rPr>
              <w:t>7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743AAE">
        <w:rPr>
          <w:b/>
          <w:sz w:val="28"/>
          <w:szCs w:val="28"/>
        </w:rPr>
        <w:t>1</w:t>
      </w:r>
      <w:r w:rsidR="00646FA2">
        <w:rPr>
          <w:b/>
          <w:sz w:val="28"/>
          <w:szCs w:val="28"/>
        </w:rPr>
        <w:t>6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406AFB" w:rsidRDefault="002278E3" w:rsidP="00241195">
      <w:pPr>
        <w:spacing w:line="288" w:lineRule="auto"/>
        <w:jc w:val="both"/>
        <w:rPr>
          <w:i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>I. TÌNH HÌNH THỜI TIẾT:</w:t>
      </w:r>
      <w:r w:rsidR="003E5CC8" w:rsidRPr="00406AFB">
        <w:rPr>
          <w:b/>
          <w:spacing w:val="-2"/>
          <w:sz w:val="27"/>
          <w:szCs w:val="27"/>
        </w:rPr>
        <w:t xml:space="preserve"> </w:t>
      </w:r>
      <w:r w:rsidR="00E532F6" w:rsidRPr="00406AFB">
        <w:rPr>
          <w:b/>
          <w:i/>
          <w:spacing w:val="-2"/>
          <w:sz w:val="27"/>
          <w:szCs w:val="27"/>
        </w:rPr>
        <w:t>(</w:t>
      </w:r>
      <w:r w:rsidR="00E532F6" w:rsidRPr="00406AFB">
        <w:rPr>
          <w:i/>
          <w:spacing w:val="-2"/>
          <w:sz w:val="27"/>
          <w:szCs w:val="27"/>
        </w:rPr>
        <w:t xml:space="preserve">Theo bản tin </w:t>
      </w:r>
      <w:r w:rsidR="00D24612" w:rsidRPr="00406AFB">
        <w:rPr>
          <w:i/>
          <w:spacing w:val="-2"/>
          <w:sz w:val="27"/>
          <w:szCs w:val="27"/>
        </w:rPr>
        <w:t>từ</w:t>
      </w:r>
      <w:r w:rsidR="00E532F6" w:rsidRPr="00406AFB">
        <w:rPr>
          <w:i/>
          <w:spacing w:val="-2"/>
          <w:sz w:val="27"/>
          <w:szCs w:val="27"/>
        </w:rPr>
        <w:t xml:space="preserve"> Trung tâm dự báo KTTVTW)</w:t>
      </w:r>
      <w:r w:rsidR="00D24612" w:rsidRPr="00406AFB">
        <w:rPr>
          <w:i/>
          <w:spacing w:val="-2"/>
          <w:sz w:val="27"/>
          <w:szCs w:val="27"/>
        </w:rPr>
        <w:t>.</w:t>
      </w:r>
    </w:p>
    <w:p w:rsidR="00530253" w:rsidRDefault="00D53936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1. </w:t>
      </w:r>
      <w:r w:rsidR="00530253">
        <w:rPr>
          <w:b/>
          <w:spacing w:val="-2"/>
          <w:sz w:val="28"/>
          <w:szCs w:val="28"/>
        </w:rPr>
        <w:t>Tin cảnh bảo gió mạnh, sóng l</w:t>
      </w:r>
      <w:r w:rsidR="004A1C05">
        <w:rPr>
          <w:b/>
          <w:spacing w:val="-2"/>
          <w:sz w:val="28"/>
          <w:szCs w:val="28"/>
        </w:rPr>
        <w:t>ớ</w:t>
      </w:r>
      <w:r w:rsidR="00530253">
        <w:rPr>
          <w:b/>
          <w:spacing w:val="-2"/>
          <w:sz w:val="28"/>
          <w:szCs w:val="28"/>
        </w:rPr>
        <w:t>n trên vịnh Bắc Bộ</w:t>
      </w:r>
    </w:p>
    <w:p w:rsidR="00530253" w:rsidRPr="00DC5B5D" w:rsidRDefault="00530253" w:rsidP="009D547D">
      <w:pPr>
        <w:tabs>
          <w:tab w:val="right" w:pos="9072"/>
        </w:tabs>
        <w:spacing w:line="288" w:lineRule="auto"/>
        <w:ind w:firstLine="567"/>
        <w:jc w:val="both"/>
        <w:rPr>
          <w:sz w:val="28"/>
          <w:szCs w:val="28"/>
        </w:rPr>
      </w:pPr>
      <w:r w:rsidRPr="00DC5B5D">
        <w:rPr>
          <w:sz w:val="28"/>
          <w:szCs w:val="28"/>
        </w:rPr>
        <w:t xml:space="preserve">Do ảnh hưởng của vùng áp thấp phía Tây phát triển nên ở Vịnh Bắc Bộ từ đêm 17/5 có gió nam mạnh cấp 6, giật cấp 7, 8. Sóng biển cao </w:t>
      </w:r>
      <w:r w:rsidR="00D53936" w:rsidRPr="00DC5B5D">
        <w:rPr>
          <w:sz w:val="28"/>
          <w:szCs w:val="28"/>
        </w:rPr>
        <w:t>từ</w:t>
      </w:r>
      <w:r w:rsidRPr="00DC5B5D">
        <w:rPr>
          <w:sz w:val="28"/>
          <w:szCs w:val="28"/>
        </w:rPr>
        <w:t xml:space="preserve"> 1</w:t>
      </w:r>
      <w:r w:rsidR="00952DF3">
        <w:rPr>
          <w:sz w:val="28"/>
          <w:szCs w:val="28"/>
        </w:rPr>
        <w:t>.</w:t>
      </w:r>
      <w:r w:rsidRPr="00DC5B5D">
        <w:rPr>
          <w:sz w:val="28"/>
          <w:szCs w:val="28"/>
        </w:rPr>
        <w:t>5-2</w:t>
      </w:r>
      <w:r w:rsidR="00952DF3">
        <w:rPr>
          <w:sz w:val="28"/>
          <w:szCs w:val="28"/>
        </w:rPr>
        <w:t>.</w:t>
      </w:r>
      <w:r w:rsidRPr="00DC5B5D">
        <w:rPr>
          <w:sz w:val="28"/>
          <w:szCs w:val="28"/>
        </w:rPr>
        <w:t>75m, biển động.</w:t>
      </w:r>
    </w:p>
    <w:p w:rsidR="005A31B7" w:rsidRPr="005048E5" w:rsidRDefault="004D6F43" w:rsidP="009D547D">
      <w:pPr>
        <w:tabs>
          <w:tab w:val="right" w:pos="9072"/>
        </w:tabs>
        <w:spacing w:line="288" w:lineRule="auto"/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5A31B7" w:rsidRPr="005048E5">
        <w:rPr>
          <w:b/>
          <w:spacing w:val="-2"/>
          <w:sz w:val="28"/>
          <w:szCs w:val="28"/>
        </w:rPr>
        <w:t>. Tin nắng nóng:</w:t>
      </w:r>
    </w:p>
    <w:p w:rsidR="00291DD9" w:rsidRPr="002D506A" w:rsidRDefault="00291DD9" w:rsidP="009D547D">
      <w:pPr>
        <w:tabs>
          <w:tab w:val="right" w:pos="9072"/>
        </w:tabs>
        <w:spacing w:line="288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06A">
        <w:rPr>
          <w:color w:val="000000" w:themeColor="text1"/>
          <w:sz w:val="28"/>
          <w:szCs w:val="28"/>
          <w:shd w:val="clear" w:color="auto" w:fill="FFFFFF"/>
        </w:rPr>
        <w:t xml:space="preserve">Trưa </w:t>
      </w:r>
      <w:r w:rsidRPr="002D506A">
        <w:rPr>
          <w:color w:val="000000" w:themeColor="text1"/>
          <w:sz w:val="28"/>
          <w:szCs w:val="28"/>
          <w:shd w:val="clear" w:color="auto" w:fill="FFFFFF"/>
        </w:rPr>
        <w:t xml:space="preserve">ngày 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16/5, nắng nóng tiếp tục xảy ra trên khu vực các tỉnh từ Nghệ An đến Phú Yên với nền nhiệt độ phổ biến khoảng 35 – 37</w:t>
      </w:r>
      <w:r w:rsidR="000B775F">
        <w:rPr>
          <w:color w:val="000000" w:themeColor="text1"/>
          <w:sz w:val="28"/>
          <w:szCs w:val="28"/>
          <w:shd w:val="clear" w:color="auto" w:fill="FFFFFF"/>
          <w:vertAlign w:val="superscript"/>
        </w:rPr>
        <w:t>0</w:t>
      </w:r>
      <w:r w:rsidR="000B775F">
        <w:rPr>
          <w:color w:val="000000" w:themeColor="text1"/>
          <w:sz w:val="28"/>
          <w:szCs w:val="28"/>
          <w:shd w:val="clear" w:color="auto" w:fill="FFFFFF"/>
        </w:rPr>
        <w:t>C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, có nơi trên 37</w:t>
      </w:r>
      <w:r w:rsidR="000B775F">
        <w:rPr>
          <w:color w:val="000000" w:themeColor="text1"/>
          <w:sz w:val="28"/>
          <w:szCs w:val="28"/>
          <w:shd w:val="clear" w:color="auto" w:fill="FFFFFF"/>
          <w:vertAlign w:val="superscript"/>
        </w:rPr>
        <w:t>0</w:t>
      </w:r>
      <w:r w:rsidR="000B775F">
        <w:rPr>
          <w:color w:val="000000" w:themeColor="text1"/>
          <w:sz w:val="28"/>
          <w:szCs w:val="28"/>
          <w:shd w:val="clear" w:color="auto" w:fill="FFFFFF"/>
        </w:rPr>
        <w:t>C</w:t>
      </w:r>
      <w:r w:rsidRPr="002D506A">
        <w:rPr>
          <w:color w:val="000000" w:themeColor="text1"/>
          <w:sz w:val="28"/>
          <w:szCs w:val="28"/>
          <w:shd w:val="clear" w:color="auto" w:fill="FFFFFF"/>
        </w:rPr>
        <w:t xml:space="preserve"> độ như Đông Hà (Quảng Trị) 37.9</w:t>
      </w:r>
      <w:r w:rsidR="000B775F">
        <w:rPr>
          <w:color w:val="000000" w:themeColor="text1"/>
          <w:sz w:val="28"/>
          <w:szCs w:val="28"/>
          <w:shd w:val="clear" w:color="auto" w:fill="FFFFFF"/>
          <w:vertAlign w:val="superscript"/>
        </w:rPr>
        <w:t>0</w:t>
      </w:r>
      <w:r w:rsidR="000B775F">
        <w:rPr>
          <w:color w:val="000000" w:themeColor="text1"/>
          <w:sz w:val="28"/>
          <w:szCs w:val="28"/>
          <w:shd w:val="clear" w:color="auto" w:fill="FFFFFF"/>
        </w:rPr>
        <w:t>C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.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291DD9" w:rsidRPr="002D506A" w:rsidRDefault="00291DD9" w:rsidP="009D547D">
      <w:pPr>
        <w:tabs>
          <w:tab w:val="right" w:pos="9072"/>
        </w:tabs>
        <w:spacing w:line="288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06A">
        <w:rPr>
          <w:color w:val="000000" w:themeColor="text1"/>
          <w:sz w:val="28"/>
          <w:szCs w:val="28"/>
          <w:shd w:val="clear" w:color="auto" w:fill="FFFFFF"/>
        </w:rPr>
        <w:t>Dự báo ngày 17/05</w:t>
      </w:r>
      <w:r w:rsidRPr="002D50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nắng nóng sẽ mở rộng ra khu vực các tỉnh phía Tây Bắc Bộ</w:t>
      </w:r>
      <w:r w:rsidR="00E938B6">
        <w:rPr>
          <w:color w:val="000000" w:themeColor="text1"/>
          <w:sz w:val="28"/>
          <w:szCs w:val="28"/>
          <w:shd w:val="clear" w:color="auto" w:fill="FFFFFF"/>
        </w:rPr>
        <w:t xml:space="preserve"> và các tỉnh </w:t>
      </w:r>
      <w:bookmarkStart w:id="0" w:name="_GoBack"/>
      <w:bookmarkEnd w:id="0"/>
      <w:r w:rsidR="00E938B6" w:rsidRPr="002D506A">
        <w:rPr>
          <w:color w:val="000000" w:themeColor="text1"/>
          <w:sz w:val="28"/>
          <w:szCs w:val="28"/>
          <w:shd w:val="clear" w:color="auto" w:fill="FFFFFF"/>
        </w:rPr>
        <w:t>từ Thanh Hóa đến Phú Yên</w:t>
      </w:r>
      <w:r w:rsidR="00E938B6" w:rsidRPr="002D50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38B6">
        <w:rPr>
          <w:color w:val="000000" w:themeColor="text1"/>
          <w:sz w:val="28"/>
          <w:szCs w:val="28"/>
          <w:shd w:val="clear" w:color="auto" w:fill="FFFFFF"/>
        </w:rPr>
        <w:t xml:space="preserve">với 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nền nhiệt độ cao nhất phổ biến khoảng 35 – 3</w:t>
      </w:r>
      <w:r w:rsidR="00E938B6">
        <w:rPr>
          <w:color w:val="000000" w:themeColor="text1"/>
          <w:sz w:val="28"/>
          <w:szCs w:val="28"/>
          <w:shd w:val="clear" w:color="auto" w:fill="FFFFFF"/>
        </w:rPr>
        <w:t>8</w:t>
      </w:r>
      <w:r w:rsidR="00E938B6">
        <w:rPr>
          <w:color w:val="000000" w:themeColor="text1"/>
          <w:sz w:val="28"/>
          <w:szCs w:val="28"/>
          <w:shd w:val="clear" w:color="auto" w:fill="FFFFFF"/>
          <w:vertAlign w:val="superscript"/>
        </w:rPr>
        <w:t>0</w:t>
      </w:r>
      <w:r w:rsidR="00E938B6">
        <w:rPr>
          <w:color w:val="000000" w:themeColor="text1"/>
          <w:sz w:val="28"/>
          <w:szCs w:val="28"/>
          <w:shd w:val="clear" w:color="auto" w:fill="FFFFFF"/>
        </w:rPr>
        <w:t>C</w:t>
      </w:r>
      <w:r w:rsidRPr="002D506A">
        <w:rPr>
          <w:color w:val="000000" w:themeColor="text1"/>
          <w:sz w:val="28"/>
          <w:szCs w:val="28"/>
          <w:shd w:val="clear" w:color="auto" w:fill="FFFFFF"/>
        </w:rPr>
        <w:t>, có nơi trên 3</w:t>
      </w:r>
      <w:r w:rsidR="00E938B6">
        <w:rPr>
          <w:color w:val="000000" w:themeColor="text1"/>
          <w:sz w:val="28"/>
          <w:szCs w:val="28"/>
          <w:shd w:val="clear" w:color="auto" w:fill="FFFFFF"/>
        </w:rPr>
        <w:t>8</w:t>
      </w:r>
      <w:r w:rsidR="00E938B6">
        <w:rPr>
          <w:color w:val="000000" w:themeColor="text1"/>
          <w:sz w:val="28"/>
          <w:szCs w:val="28"/>
          <w:shd w:val="clear" w:color="auto" w:fill="FFFFFF"/>
          <w:vertAlign w:val="superscript"/>
        </w:rPr>
        <w:t>0</w:t>
      </w:r>
      <w:r w:rsidR="00E938B6">
        <w:rPr>
          <w:color w:val="000000" w:themeColor="text1"/>
          <w:sz w:val="28"/>
          <w:szCs w:val="28"/>
          <w:shd w:val="clear" w:color="auto" w:fill="FFFFFF"/>
        </w:rPr>
        <w:t>C</w:t>
      </w:r>
      <w:r w:rsidR="00E938B6">
        <w:rPr>
          <w:color w:val="000000" w:themeColor="text1"/>
          <w:sz w:val="28"/>
          <w:szCs w:val="28"/>
          <w:shd w:val="clear" w:color="auto" w:fill="FFFFFF"/>
        </w:rPr>
        <w:t>.</w:t>
      </w:r>
      <w:r w:rsidR="00B979C7" w:rsidRPr="00B979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979C7" w:rsidRPr="00B979C7">
        <w:rPr>
          <w:color w:val="000000" w:themeColor="text1"/>
          <w:sz w:val="28"/>
          <w:szCs w:val="28"/>
          <w:shd w:val="clear" w:color="auto" w:fill="FFFFFF"/>
        </w:rPr>
        <w:t>Nắng nóng ở Trung Bộ còn có khả năng kéo dài 4 – 5 ngày tới.</w:t>
      </w:r>
      <w:r w:rsidR="00B979C7" w:rsidRPr="00B979C7">
        <w:rPr>
          <w:color w:val="000000" w:themeColor="text1"/>
          <w:sz w:val="28"/>
          <w:szCs w:val="28"/>
        </w:rPr>
        <w:t> </w:t>
      </w:r>
    </w:p>
    <w:p w:rsidR="008020DC" w:rsidRPr="003E3798" w:rsidRDefault="004D6F43" w:rsidP="009D547D">
      <w:pPr>
        <w:spacing w:line="288" w:lineRule="auto"/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</w:rPr>
        <w:t>3</w:t>
      </w:r>
      <w:r w:rsidR="00743AAE" w:rsidRPr="003E3798">
        <w:rPr>
          <w:b/>
          <w:color w:val="000000" w:themeColor="text1"/>
          <w:spacing w:val="-2"/>
          <w:sz w:val="28"/>
          <w:szCs w:val="28"/>
        </w:rPr>
        <w:t xml:space="preserve">. </w:t>
      </w:r>
      <w:r w:rsidR="00E95B22" w:rsidRPr="003E3798">
        <w:rPr>
          <w:b/>
          <w:color w:val="000000" w:themeColor="text1"/>
          <w:spacing w:val="-2"/>
          <w:sz w:val="28"/>
          <w:szCs w:val="28"/>
        </w:rPr>
        <w:t>Thời tiết ngày</w:t>
      </w:r>
      <w:r w:rsidR="00C5323C" w:rsidRPr="003E3798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A0038E" w:rsidRPr="003E3798">
        <w:rPr>
          <w:b/>
          <w:color w:val="000000" w:themeColor="text1"/>
          <w:spacing w:val="-2"/>
          <w:sz w:val="28"/>
          <w:szCs w:val="28"/>
        </w:rPr>
        <w:t>1</w:t>
      </w:r>
      <w:r w:rsidR="00544674">
        <w:rPr>
          <w:b/>
          <w:color w:val="000000" w:themeColor="text1"/>
          <w:spacing w:val="-2"/>
          <w:sz w:val="28"/>
          <w:szCs w:val="28"/>
        </w:rPr>
        <w:t>7</w:t>
      </w:r>
      <w:r w:rsidR="00E95B22" w:rsidRPr="003E3798">
        <w:rPr>
          <w:b/>
          <w:color w:val="000000" w:themeColor="text1"/>
          <w:spacing w:val="-2"/>
          <w:sz w:val="28"/>
          <w:szCs w:val="28"/>
        </w:rPr>
        <w:t xml:space="preserve"> tháng 5:</w:t>
      </w:r>
      <w:r w:rsidR="008020DC" w:rsidRPr="003E3798">
        <w:rPr>
          <w:b/>
          <w:color w:val="000000" w:themeColor="text1"/>
          <w:spacing w:val="-2"/>
          <w:sz w:val="28"/>
          <w:szCs w:val="28"/>
        </w:rPr>
        <w:t xml:space="preserve"> </w:t>
      </w:r>
    </w:p>
    <w:p w:rsidR="000244F1" w:rsidRPr="000244F1" w:rsidRDefault="000244F1" w:rsidP="009D547D">
      <w:pPr>
        <w:tabs>
          <w:tab w:val="right" w:pos="9072"/>
        </w:tabs>
        <w:spacing w:line="288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4F1">
        <w:rPr>
          <w:color w:val="000000" w:themeColor="text1"/>
          <w:sz w:val="28"/>
          <w:szCs w:val="28"/>
          <w:shd w:val="clear" w:color="auto" w:fill="FFFFFF"/>
        </w:rPr>
        <w:t>- Phía Tây Bắc Bộ và các tỉnh từ Thanh Hóa đến Phú Yên: Chiều tối và đêm có mưa rào và dông vài nơi, ngày nắng nóng.</w:t>
      </w:r>
    </w:p>
    <w:p w:rsidR="000244F1" w:rsidRPr="000244F1" w:rsidRDefault="000244F1" w:rsidP="009D547D">
      <w:pPr>
        <w:tabs>
          <w:tab w:val="right" w:pos="9072"/>
        </w:tabs>
        <w:spacing w:line="288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4F1">
        <w:rPr>
          <w:color w:val="000000" w:themeColor="text1"/>
          <w:sz w:val="28"/>
          <w:szCs w:val="28"/>
          <w:shd w:val="clear" w:color="auto" w:fill="FFFFFF"/>
        </w:rPr>
        <w:t xml:space="preserve">- Tây Nguyên: </w:t>
      </w:r>
      <w:r>
        <w:rPr>
          <w:color w:val="000000" w:themeColor="text1"/>
          <w:sz w:val="28"/>
          <w:szCs w:val="28"/>
          <w:shd w:val="clear" w:color="auto" w:fill="FFFFFF"/>
        </w:rPr>
        <w:t>C</w:t>
      </w:r>
      <w:r w:rsidRPr="000244F1">
        <w:rPr>
          <w:color w:val="000000" w:themeColor="text1"/>
          <w:sz w:val="28"/>
          <w:szCs w:val="28"/>
          <w:shd w:val="clear" w:color="auto" w:fill="FFFFFF"/>
        </w:rPr>
        <w:t>hiều tối có mưa rào và dông rải rác, ngày nắng.</w:t>
      </w:r>
    </w:p>
    <w:p w:rsidR="000244F1" w:rsidRPr="000244F1" w:rsidRDefault="000244F1" w:rsidP="009D547D">
      <w:pPr>
        <w:tabs>
          <w:tab w:val="right" w:pos="9072"/>
        </w:tabs>
        <w:spacing w:line="288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44F1">
        <w:rPr>
          <w:color w:val="000000" w:themeColor="text1"/>
          <w:sz w:val="28"/>
          <w:szCs w:val="28"/>
          <w:shd w:val="clear" w:color="auto" w:fill="FFFFFF"/>
        </w:rPr>
        <w:t>- Các khu vực khác: Chiều tối và đêm có mưa rào và dông vài nơi, ngày nắng, có nơi có nắng nóng.</w:t>
      </w:r>
    </w:p>
    <w:p w:rsidR="00161613" w:rsidRPr="005048E5" w:rsidRDefault="00171C74" w:rsidP="00AA123A">
      <w:pPr>
        <w:tabs>
          <w:tab w:val="left" w:pos="567"/>
        </w:tabs>
        <w:spacing w:line="360" w:lineRule="exact"/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="00161613" w:rsidRPr="005048E5">
        <w:rPr>
          <w:b/>
          <w:spacing w:val="-2"/>
          <w:sz w:val="28"/>
          <w:szCs w:val="28"/>
        </w:rPr>
        <w:t>. Tình hình mưa</w:t>
      </w:r>
    </w:p>
    <w:p w:rsidR="00ED71A0" w:rsidRPr="00CA01B8" w:rsidRDefault="00171C74" w:rsidP="009C7197">
      <w:pPr>
        <w:tabs>
          <w:tab w:val="right" w:pos="9072"/>
        </w:tabs>
        <w:spacing w:before="120" w:after="120" w:line="360" w:lineRule="exact"/>
        <w:ind w:firstLine="567"/>
        <w:jc w:val="both"/>
        <w:rPr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4</w:t>
      </w:r>
      <w:r w:rsidR="00ED71A0" w:rsidRPr="00CA01B8">
        <w:rPr>
          <w:b/>
          <w:i/>
          <w:spacing w:val="-6"/>
          <w:sz w:val="28"/>
          <w:szCs w:val="28"/>
        </w:rPr>
        <w:t>.1. Lượng mưa ngày:</w:t>
      </w:r>
      <w:r w:rsidR="00ED71A0" w:rsidRPr="00CA01B8">
        <w:rPr>
          <w:spacing w:val="-6"/>
          <w:sz w:val="28"/>
          <w:szCs w:val="28"/>
        </w:rPr>
        <w:t xml:space="preserve"> Từ 19h/1</w:t>
      </w:r>
      <w:r w:rsidR="009C7197" w:rsidRPr="00CA01B8">
        <w:rPr>
          <w:spacing w:val="-6"/>
          <w:sz w:val="28"/>
          <w:szCs w:val="28"/>
        </w:rPr>
        <w:t>5</w:t>
      </w:r>
      <w:r w:rsidR="00ED71A0" w:rsidRPr="00CA01B8">
        <w:rPr>
          <w:spacing w:val="-6"/>
          <w:sz w:val="28"/>
          <w:szCs w:val="28"/>
        </w:rPr>
        <w:t>/5 đến 19h/</w:t>
      </w:r>
      <w:r w:rsidR="00165A5E" w:rsidRPr="00CA01B8">
        <w:rPr>
          <w:spacing w:val="-6"/>
          <w:sz w:val="28"/>
          <w:szCs w:val="28"/>
        </w:rPr>
        <w:t>1</w:t>
      </w:r>
      <w:r w:rsidR="009C7197" w:rsidRPr="00CA01B8">
        <w:rPr>
          <w:spacing w:val="-6"/>
          <w:sz w:val="28"/>
          <w:szCs w:val="28"/>
        </w:rPr>
        <w:t>6</w:t>
      </w:r>
      <w:r w:rsidR="00ED71A0" w:rsidRPr="00CA01B8">
        <w:rPr>
          <w:spacing w:val="-6"/>
          <w:sz w:val="28"/>
          <w:szCs w:val="28"/>
        </w:rPr>
        <w:t xml:space="preserve">/5, </w:t>
      </w:r>
      <w:r w:rsidR="006C6217" w:rsidRPr="006C6217">
        <w:rPr>
          <w:spacing w:val="-2"/>
          <w:sz w:val="28"/>
          <w:szCs w:val="28"/>
        </w:rPr>
        <w:t>hầu hết các tỉnh phía Bắc có mưa vừa đến mưa to, có nơi mưa rất to</w:t>
      </w:r>
      <w:r w:rsidR="00ED71A0" w:rsidRPr="00CA01B8">
        <w:rPr>
          <w:spacing w:val="-6"/>
          <w:sz w:val="28"/>
          <w:szCs w:val="28"/>
        </w:rPr>
        <w:t xml:space="preserve">, lượng mưa phổ biến dưới </w:t>
      </w:r>
      <w:r w:rsidR="004A189B" w:rsidRPr="00CA01B8">
        <w:rPr>
          <w:spacing w:val="-6"/>
          <w:sz w:val="28"/>
          <w:szCs w:val="28"/>
        </w:rPr>
        <w:t>6</w:t>
      </w:r>
      <w:r w:rsidR="00ED71A0" w:rsidRPr="00CA01B8">
        <w:rPr>
          <w:spacing w:val="-6"/>
          <w:sz w:val="28"/>
          <w:szCs w:val="28"/>
        </w:rPr>
        <w:t>0 mm</w:t>
      </w:r>
      <w:r w:rsidR="00E71C0D" w:rsidRPr="00CA01B8">
        <w:rPr>
          <w:spacing w:val="-6"/>
          <w:sz w:val="28"/>
          <w:szCs w:val="28"/>
        </w:rPr>
        <w:t xml:space="preserve">. </w:t>
      </w:r>
      <w:r w:rsidR="001C45EC" w:rsidRPr="00CA01B8">
        <w:rPr>
          <w:spacing w:val="-6"/>
          <w:sz w:val="28"/>
          <w:szCs w:val="28"/>
        </w:rPr>
        <w:t>M</w:t>
      </w:r>
      <w:r w:rsidR="00ED71A0" w:rsidRPr="00CA01B8">
        <w:rPr>
          <w:spacing w:val="-6"/>
          <w:sz w:val="28"/>
          <w:szCs w:val="28"/>
        </w:rPr>
        <w:t>ột số trạm có lượng mưa lớn hơn như</w:t>
      </w:r>
      <w:r w:rsidR="006A6396" w:rsidRPr="00CA01B8">
        <w:rPr>
          <w:spacing w:val="-6"/>
          <w:sz w:val="28"/>
          <w:szCs w:val="28"/>
        </w:rPr>
        <w:t xml:space="preserve"> sau</w:t>
      </w:r>
      <w:r w:rsidR="00ED71A0" w:rsidRPr="00CA01B8">
        <w:rPr>
          <w:spacing w:val="-6"/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8"/>
        <w:gridCol w:w="1118"/>
        <w:gridCol w:w="271"/>
        <w:gridCol w:w="3292"/>
        <w:gridCol w:w="1109"/>
      </w:tblGrid>
      <w:tr w:rsidR="00CA01B8" w:rsidRPr="00CA01B8" w:rsidTr="00CA01B8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CA01B8" w:rsidRDefault="00CA01B8" w:rsidP="00123E0A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Lào Cai (Lào Cai)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CA01B8" w:rsidRDefault="00CA01B8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73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B8" w:rsidRPr="00CA01B8" w:rsidRDefault="00CA01B8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1B8" w:rsidRPr="00CA01B8" w:rsidRDefault="00CA01B8" w:rsidP="00123E0A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Việt Trì (Phú Thọ)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1B8" w:rsidRPr="00CA01B8" w:rsidRDefault="00CA01B8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71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9170FD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Mù Cang Trải</w:t>
            </w:r>
            <w:r w:rsidRPr="00CA01B8">
              <w:rPr>
                <w:sz w:val="27"/>
                <w:szCs w:val="27"/>
              </w:rPr>
              <w:t xml:space="preserve"> (Yên Bái)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9170FD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1</w:t>
            </w:r>
            <w:r w:rsidRPr="00CA01B8">
              <w:rPr>
                <w:sz w:val="27"/>
                <w:szCs w:val="27"/>
              </w:rPr>
              <w:t>18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Tam Đảo (Vĩnh Phúc)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79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6F6DAE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Khâu Phạ (Yên Bái)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6F6DAE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138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Phúc Yên (Vĩnh Phúc)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81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9643B7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Trạm Tấu (Yên Bái)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9643B7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88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0C6FC9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Chợ Mới (Bác Cạn)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0C6FC9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71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865AFF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Hà Giang (Hà Giang)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865AF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71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C23BBC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Tiên Yên (Quảng Ninh)</w:t>
            </w:r>
            <w:r w:rsidRPr="00CA01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C23BBC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118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A11E64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Sơn Dương (Tuyên Quang)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A11E64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69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C23BBC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Móng Cái</w:t>
            </w:r>
            <w:r w:rsidRPr="00CA01B8">
              <w:rPr>
                <w:sz w:val="27"/>
                <w:szCs w:val="27"/>
              </w:rPr>
              <w:t xml:space="preserve"> (</w:t>
            </w:r>
            <w:r w:rsidRPr="00CA01B8">
              <w:rPr>
                <w:sz w:val="27"/>
                <w:szCs w:val="27"/>
              </w:rPr>
              <w:t>Quảng Ninh</w:t>
            </w:r>
            <w:r w:rsidRPr="00CA01B8">
              <w:rPr>
                <w:sz w:val="27"/>
                <w:szCs w:val="27"/>
              </w:rPr>
              <w:t xml:space="preserve">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C23BBC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112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</w:tr>
      <w:tr w:rsidR="00171C74" w:rsidRPr="00CA01B8" w:rsidTr="00171C74">
        <w:trPr>
          <w:trHeight w:val="25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F18DC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Phú Hộ (Phú Thọ)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1F18DC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66</w:t>
            </w:r>
            <w:r w:rsidRPr="00CA01B8">
              <w:rPr>
                <w:sz w:val="27"/>
                <w:szCs w:val="27"/>
              </w:rPr>
              <w:t xml:space="preserve"> mm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C74" w:rsidRPr="00CA01B8" w:rsidRDefault="00171C74" w:rsidP="00123E0A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575209">
            <w:pPr>
              <w:spacing w:line="288" w:lineRule="auto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 xml:space="preserve">Văn Mịch (Lạng Sơn)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C74" w:rsidRPr="00CA01B8" w:rsidRDefault="00171C74" w:rsidP="00575209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CA01B8">
              <w:rPr>
                <w:sz w:val="27"/>
                <w:szCs w:val="27"/>
              </w:rPr>
              <w:t>65 mm</w:t>
            </w:r>
          </w:p>
        </w:tc>
      </w:tr>
    </w:tbl>
    <w:p w:rsidR="00ED71A0" w:rsidRPr="00B460E8" w:rsidRDefault="00A77B6B" w:rsidP="00535DCE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B460E8">
        <w:rPr>
          <w:b/>
          <w:i/>
          <w:spacing w:val="-2"/>
          <w:sz w:val="28"/>
          <w:szCs w:val="28"/>
        </w:rPr>
        <w:lastRenderedPageBreak/>
        <w:t>4</w:t>
      </w:r>
      <w:r w:rsidR="00ED71A0" w:rsidRPr="00B460E8">
        <w:rPr>
          <w:b/>
          <w:i/>
          <w:spacing w:val="-2"/>
          <w:sz w:val="28"/>
          <w:szCs w:val="28"/>
        </w:rPr>
        <w:t>.2. Lượng mưa đêm:</w:t>
      </w:r>
      <w:r w:rsidR="00ED71A0" w:rsidRPr="00B460E8">
        <w:rPr>
          <w:spacing w:val="-2"/>
          <w:sz w:val="28"/>
          <w:szCs w:val="28"/>
        </w:rPr>
        <w:t xml:space="preserve"> Từ 19 giờ ngày </w:t>
      </w:r>
      <w:r w:rsidR="00A253C3" w:rsidRPr="00B460E8">
        <w:rPr>
          <w:spacing w:val="-2"/>
          <w:sz w:val="28"/>
          <w:szCs w:val="28"/>
        </w:rPr>
        <w:t>1</w:t>
      </w:r>
      <w:r w:rsidR="006C6217" w:rsidRPr="00B460E8">
        <w:rPr>
          <w:spacing w:val="-2"/>
          <w:sz w:val="28"/>
          <w:szCs w:val="28"/>
        </w:rPr>
        <w:t>6</w:t>
      </w:r>
      <w:r w:rsidR="00ED71A0" w:rsidRPr="00B460E8">
        <w:rPr>
          <w:spacing w:val="-2"/>
          <w:sz w:val="28"/>
          <w:szCs w:val="28"/>
        </w:rPr>
        <w:t>/5 đến 7 giờ ngày 1</w:t>
      </w:r>
      <w:r w:rsidR="006C6217" w:rsidRPr="00B460E8">
        <w:rPr>
          <w:spacing w:val="-2"/>
          <w:sz w:val="28"/>
          <w:szCs w:val="28"/>
        </w:rPr>
        <w:t>7</w:t>
      </w:r>
      <w:r w:rsidR="00ED71A0" w:rsidRPr="00B460E8">
        <w:rPr>
          <w:spacing w:val="-2"/>
          <w:sz w:val="28"/>
          <w:szCs w:val="28"/>
        </w:rPr>
        <w:t xml:space="preserve">/5, </w:t>
      </w:r>
      <w:r w:rsidR="003E3798" w:rsidRPr="00B460E8">
        <w:rPr>
          <w:spacing w:val="-2"/>
          <w:sz w:val="28"/>
          <w:szCs w:val="28"/>
        </w:rPr>
        <w:t xml:space="preserve">hầu hết các </w:t>
      </w:r>
      <w:r w:rsidR="008C46ED" w:rsidRPr="00B460E8">
        <w:rPr>
          <w:spacing w:val="-2"/>
          <w:sz w:val="28"/>
          <w:szCs w:val="28"/>
        </w:rPr>
        <w:t>tỉnh phía</w:t>
      </w:r>
      <w:r w:rsidR="00D37CDF" w:rsidRPr="00B460E8">
        <w:rPr>
          <w:spacing w:val="-2"/>
          <w:sz w:val="28"/>
          <w:szCs w:val="28"/>
        </w:rPr>
        <w:t xml:space="preserve"> </w:t>
      </w:r>
      <w:r w:rsidR="002A26D6" w:rsidRPr="00B460E8">
        <w:rPr>
          <w:spacing w:val="-2"/>
          <w:sz w:val="28"/>
          <w:szCs w:val="28"/>
        </w:rPr>
        <w:t>Bắc có mưa vừa đến mưa to, có nơi mưa rất to</w:t>
      </w:r>
      <w:r w:rsidR="008C46ED" w:rsidRPr="00B460E8">
        <w:rPr>
          <w:spacing w:val="-2"/>
          <w:sz w:val="28"/>
          <w:szCs w:val="28"/>
        </w:rPr>
        <w:t xml:space="preserve"> tập trung vào thời gian từ </w:t>
      </w:r>
      <w:r w:rsidR="003E3798" w:rsidRPr="00B460E8">
        <w:rPr>
          <w:spacing w:val="-2"/>
          <w:sz w:val="28"/>
          <w:szCs w:val="28"/>
        </w:rPr>
        <w:t>1</w:t>
      </w:r>
      <w:r w:rsidR="008C46ED" w:rsidRPr="00B460E8">
        <w:rPr>
          <w:spacing w:val="-2"/>
          <w:sz w:val="28"/>
          <w:szCs w:val="28"/>
        </w:rPr>
        <w:t xml:space="preserve">h đến </w:t>
      </w:r>
      <w:r w:rsidR="003E3798" w:rsidRPr="00B460E8">
        <w:rPr>
          <w:spacing w:val="-2"/>
          <w:sz w:val="28"/>
          <w:szCs w:val="28"/>
        </w:rPr>
        <w:t>7</w:t>
      </w:r>
      <w:r w:rsidR="008C46ED" w:rsidRPr="00B460E8">
        <w:rPr>
          <w:spacing w:val="-2"/>
          <w:sz w:val="28"/>
          <w:szCs w:val="28"/>
        </w:rPr>
        <w:t xml:space="preserve">h </w:t>
      </w:r>
      <w:r w:rsidR="003E3798" w:rsidRPr="00B460E8">
        <w:rPr>
          <w:spacing w:val="-2"/>
          <w:sz w:val="28"/>
          <w:szCs w:val="28"/>
        </w:rPr>
        <w:t>sáng</w:t>
      </w:r>
      <w:r w:rsidR="00D37CDF" w:rsidRPr="00B460E8">
        <w:rPr>
          <w:spacing w:val="-2"/>
          <w:sz w:val="28"/>
          <w:szCs w:val="28"/>
        </w:rPr>
        <w:t xml:space="preserve">, </w:t>
      </w:r>
      <w:r w:rsidR="00616289" w:rsidRPr="00B460E8">
        <w:rPr>
          <w:spacing w:val="-2"/>
          <w:sz w:val="28"/>
          <w:szCs w:val="28"/>
        </w:rPr>
        <w:t xml:space="preserve">lượng mưa phổ biến </w:t>
      </w:r>
      <w:r w:rsidR="008C46ED" w:rsidRPr="00B460E8">
        <w:rPr>
          <w:spacing w:val="-2"/>
          <w:sz w:val="28"/>
          <w:szCs w:val="28"/>
        </w:rPr>
        <w:t>từ 10-</w:t>
      </w:r>
      <w:r w:rsidR="00A52E34" w:rsidRPr="00B460E8">
        <w:rPr>
          <w:spacing w:val="-2"/>
          <w:sz w:val="28"/>
          <w:szCs w:val="28"/>
        </w:rPr>
        <w:t>5</w:t>
      </w:r>
      <w:r w:rsidR="008C46ED" w:rsidRPr="00B460E8">
        <w:rPr>
          <w:spacing w:val="-2"/>
          <w:sz w:val="28"/>
          <w:szCs w:val="28"/>
        </w:rPr>
        <w:t>0</w:t>
      </w:r>
      <w:r w:rsidR="00616289" w:rsidRPr="00B460E8">
        <w:rPr>
          <w:spacing w:val="-2"/>
          <w:sz w:val="28"/>
          <w:szCs w:val="28"/>
        </w:rPr>
        <w:t>mm</w:t>
      </w:r>
      <w:r w:rsidR="00D37CDF" w:rsidRPr="00B460E8">
        <w:rPr>
          <w:spacing w:val="-2"/>
          <w:sz w:val="28"/>
          <w:szCs w:val="28"/>
        </w:rPr>
        <w:t>. M</w:t>
      </w:r>
      <w:r w:rsidR="00616289" w:rsidRPr="00B460E8">
        <w:rPr>
          <w:spacing w:val="-2"/>
          <w:sz w:val="28"/>
          <w:szCs w:val="28"/>
        </w:rPr>
        <w:t>ột số trạm có lượng mưa lớn hơn</w:t>
      </w:r>
      <w:r w:rsidR="006C7912" w:rsidRPr="00B460E8">
        <w:rPr>
          <w:spacing w:val="-2"/>
          <w:sz w:val="28"/>
          <w:szCs w:val="28"/>
        </w:rPr>
        <w:t xml:space="preserve"> </w:t>
      </w:r>
      <w:r w:rsidR="00616289" w:rsidRPr="00B460E8">
        <w:rPr>
          <w:spacing w:val="-2"/>
          <w:sz w:val="28"/>
          <w:szCs w:val="28"/>
        </w:rPr>
        <w:t>như</w:t>
      </w:r>
      <w:r w:rsidR="006C7912" w:rsidRPr="00B460E8">
        <w:rPr>
          <w:spacing w:val="-2"/>
          <w:sz w:val="28"/>
          <w:szCs w:val="28"/>
        </w:rPr>
        <w:t xml:space="preserve"> sau</w:t>
      </w:r>
      <w:r w:rsidR="00616289" w:rsidRPr="00B460E8">
        <w:rPr>
          <w:spacing w:val="-2"/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1133"/>
        <w:gridCol w:w="284"/>
        <w:gridCol w:w="3305"/>
        <w:gridCol w:w="1055"/>
      </w:tblGrid>
      <w:tr w:rsidR="0082457E" w:rsidRPr="00B460E8" w:rsidTr="00C3665B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Lào Cai (Lào Cai)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73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9B2FBD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Phú Hộ (Phú Thọ)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9B2FBD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66 mm</w:t>
            </w:r>
          </w:p>
        </w:tc>
      </w:tr>
      <w:tr w:rsidR="0082457E" w:rsidRPr="00B460E8" w:rsidTr="00C3665B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Bảo Hà (Lào Cai)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63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Việt Trì (Phú Thọ)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70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Mù Cang Chải (Yên Bái)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D21ACB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101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Phú Thọ (Phú Thọ)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69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Khau Phạ (Yên Bái)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130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Chợ Mới (BắcCạn)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71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Trạm Tấu (Yên Bái)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77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Phương Viên (Bắc Cạn)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62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Thác Bà (Yên Bái)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69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Đại Từ (Thái Nguyên)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63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Hà Giang (Hà Giang)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71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Thất Khê (Lạng Sơn)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65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Sơn Dương (Tuyên Quang)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69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Bắc Sơn (Lạng Sơn)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62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Sơn Nam (Tuyên Quang)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62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Văn Mịch (Lạng Sơn)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65 mm</w:t>
            </w:r>
          </w:p>
        </w:tc>
      </w:tr>
      <w:tr w:rsidR="0082457E" w:rsidRPr="00B460E8" w:rsidTr="00AC15CA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Tam Đảo (Vĩnh Phúc)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78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Sơn Động (Bắc Giang)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55 mm</w:t>
            </w:r>
          </w:p>
        </w:tc>
      </w:tr>
      <w:tr w:rsidR="0082457E" w:rsidRPr="00B460E8" w:rsidTr="00B001FC">
        <w:trPr>
          <w:trHeight w:val="25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Phúc Yên (Vĩnh Phúc)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AE488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81 mm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3E3798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 xml:space="preserve">Yên Thế (Bắc Giang)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57E" w:rsidRPr="00B460E8" w:rsidRDefault="0082457E" w:rsidP="007350CF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B460E8">
              <w:rPr>
                <w:sz w:val="27"/>
                <w:szCs w:val="27"/>
              </w:rPr>
              <w:t>55 mm</w:t>
            </w:r>
          </w:p>
        </w:tc>
      </w:tr>
    </w:tbl>
    <w:p w:rsidR="00ED71A0" w:rsidRPr="006C15E0" w:rsidRDefault="00A77B6B" w:rsidP="00EF62AC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8"/>
          <w:szCs w:val="28"/>
        </w:rPr>
      </w:pPr>
      <w:r w:rsidRPr="006C15E0">
        <w:rPr>
          <w:b/>
          <w:i/>
          <w:spacing w:val="-2"/>
          <w:sz w:val="28"/>
          <w:szCs w:val="28"/>
        </w:rPr>
        <w:t>4</w:t>
      </w:r>
      <w:r w:rsidR="00ED71A0" w:rsidRPr="006C15E0">
        <w:rPr>
          <w:b/>
          <w:i/>
          <w:spacing w:val="-2"/>
          <w:sz w:val="28"/>
          <w:szCs w:val="28"/>
        </w:rPr>
        <w:t>.3. Lượng mưa 3 ngày:</w:t>
      </w:r>
      <w:r w:rsidR="00ED71A0" w:rsidRPr="006C15E0">
        <w:rPr>
          <w:spacing w:val="-2"/>
          <w:sz w:val="28"/>
          <w:szCs w:val="28"/>
        </w:rPr>
        <w:t xml:space="preserve"> Từ </w:t>
      </w:r>
      <w:r w:rsidR="00927FC8" w:rsidRPr="006C15E0">
        <w:rPr>
          <w:spacing w:val="-2"/>
          <w:sz w:val="28"/>
          <w:szCs w:val="28"/>
        </w:rPr>
        <w:t>19h ngà</w:t>
      </w:r>
      <w:r w:rsidR="00ED71A0" w:rsidRPr="006C15E0">
        <w:rPr>
          <w:spacing w:val="-2"/>
          <w:sz w:val="28"/>
          <w:szCs w:val="28"/>
        </w:rPr>
        <w:t xml:space="preserve">y </w:t>
      </w:r>
      <w:r w:rsidR="00655C92" w:rsidRPr="006C15E0">
        <w:rPr>
          <w:spacing w:val="-2"/>
          <w:sz w:val="28"/>
          <w:szCs w:val="28"/>
        </w:rPr>
        <w:t>1</w:t>
      </w:r>
      <w:r w:rsidR="009774CE" w:rsidRPr="006C15E0">
        <w:rPr>
          <w:spacing w:val="-2"/>
          <w:sz w:val="28"/>
          <w:szCs w:val="28"/>
        </w:rPr>
        <w:t>3</w:t>
      </w:r>
      <w:r w:rsidR="00ED71A0" w:rsidRPr="006C15E0">
        <w:rPr>
          <w:spacing w:val="-2"/>
          <w:sz w:val="28"/>
          <w:szCs w:val="28"/>
        </w:rPr>
        <w:t>/5 đến 19</w:t>
      </w:r>
      <w:r w:rsidR="00927FC8" w:rsidRPr="006C15E0">
        <w:rPr>
          <w:spacing w:val="-2"/>
          <w:sz w:val="28"/>
          <w:szCs w:val="28"/>
        </w:rPr>
        <w:t>h</w:t>
      </w:r>
      <w:r w:rsidR="00ED71A0" w:rsidRPr="006C15E0">
        <w:rPr>
          <w:spacing w:val="-2"/>
          <w:sz w:val="28"/>
          <w:szCs w:val="28"/>
        </w:rPr>
        <w:t xml:space="preserve"> ngày </w:t>
      </w:r>
      <w:r w:rsidR="00E35CAC" w:rsidRPr="006C15E0">
        <w:rPr>
          <w:spacing w:val="-2"/>
          <w:sz w:val="28"/>
          <w:szCs w:val="28"/>
        </w:rPr>
        <w:t>1</w:t>
      </w:r>
      <w:r w:rsidR="009774CE" w:rsidRPr="006C15E0">
        <w:rPr>
          <w:spacing w:val="-2"/>
          <w:sz w:val="28"/>
          <w:szCs w:val="28"/>
        </w:rPr>
        <w:t>6</w:t>
      </w:r>
      <w:r w:rsidR="00ED71A0" w:rsidRPr="006C15E0">
        <w:rPr>
          <w:spacing w:val="-2"/>
          <w:sz w:val="28"/>
          <w:szCs w:val="28"/>
        </w:rPr>
        <w:t xml:space="preserve">/5, </w:t>
      </w:r>
      <w:r w:rsidR="00C257D4" w:rsidRPr="006C15E0">
        <w:rPr>
          <w:spacing w:val="-2"/>
          <w:sz w:val="28"/>
          <w:szCs w:val="28"/>
        </w:rPr>
        <w:t>khu vực</w:t>
      </w:r>
      <w:r w:rsidR="00927FC8" w:rsidRPr="006C15E0">
        <w:rPr>
          <w:spacing w:val="-2"/>
          <w:sz w:val="28"/>
          <w:szCs w:val="28"/>
        </w:rPr>
        <w:t xml:space="preserve"> Đồng Bằng Bắc Bộ,</w:t>
      </w:r>
      <w:r w:rsidR="00C257D4" w:rsidRPr="006C15E0">
        <w:rPr>
          <w:spacing w:val="-2"/>
          <w:sz w:val="28"/>
          <w:szCs w:val="28"/>
        </w:rPr>
        <w:t xml:space="preserve"> </w:t>
      </w:r>
      <w:r w:rsidR="00EC6980" w:rsidRPr="006C15E0">
        <w:rPr>
          <w:spacing w:val="-2"/>
          <w:sz w:val="28"/>
          <w:szCs w:val="28"/>
        </w:rPr>
        <w:t>miền núi phía Bắc</w:t>
      </w:r>
      <w:r w:rsidR="00927FC8" w:rsidRPr="006C15E0">
        <w:rPr>
          <w:spacing w:val="-2"/>
          <w:sz w:val="28"/>
          <w:szCs w:val="28"/>
        </w:rPr>
        <w:t xml:space="preserve"> và Bắc Trung Bộ </w:t>
      </w:r>
      <w:r w:rsidR="00ED71A0" w:rsidRPr="006C15E0">
        <w:rPr>
          <w:spacing w:val="-2"/>
          <w:sz w:val="28"/>
          <w:szCs w:val="28"/>
          <w:lang w:val="vi-VN"/>
        </w:rPr>
        <w:t xml:space="preserve">có </w:t>
      </w:r>
      <w:r w:rsidR="00AA0ECC" w:rsidRPr="006C15E0">
        <w:rPr>
          <w:spacing w:val="-2"/>
          <w:sz w:val="28"/>
          <w:szCs w:val="28"/>
        </w:rPr>
        <w:t>mưa</w:t>
      </w:r>
      <w:r w:rsidR="00F05A5D" w:rsidRPr="006C15E0">
        <w:rPr>
          <w:spacing w:val="-2"/>
          <w:sz w:val="28"/>
          <w:szCs w:val="28"/>
        </w:rPr>
        <w:t>,</w:t>
      </w:r>
      <w:r w:rsidR="009C284F" w:rsidRPr="006C15E0">
        <w:rPr>
          <w:spacing w:val="-2"/>
          <w:sz w:val="28"/>
          <w:szCs w:val="28"/>
        </w:rPr>
        <w:t xml:space="preserve"> </w:t>
      </w:r>
      <w:r w:rsidR="00FA0F09" w:rsidRPr="006C15E0">
        <w:rPr>
          <w:spacing w:val="-2"/>
          <w:sz w:val="28"/>
          <w:szCs w:val="28"/>
        </w:rPr>
        <w:t xml:space="preserve">có nơi </w:t>
      </w:r>
      <w:r w:rsidR="00552183" w:rsidRPr="006C15E0">
        <w:rPr>
          <w:spacing w:val="-2"/>
          <w:sz w:val="28"/>
          <w:szCs w:val="28"/>
        </w:rPr>
        <w:t xml:space="preserve">mưa vừa đến </w:t>
      </w:r>
      <w:r w:rsidR="009C284F" w:rsidRPr="006C15E0">
        <w:rPr>
          <w:spacing w:val="-2"/>
          <w:sz w:val="28"/>
          <w:szCs w:val="28"/>
        </w:rPr>
        <w:t>mưa to</w:t>
      </w:r>
      <w:r w:rsidR="00456BAD" w:rsidRPr="006C15E0">
        <w:rPr>
          <w:spacing w:val="-2"/>
          <w:sz w:val="28"/>
          <w:szCs w:val="28"/>
        </w:rPr>
        <w:t>,</w:t>
      </w:r>
      <w:r w:rsidR="009C284F" w:rsidRPr="006C15E0">
        <w:rPr>
          <w:spacing w:val="-2"/>
          <w:sz w:val="28"/>
          <w:szCs w:val="28"/>
        </w:rPr>
        <w:t xml:space="preserve"> </w:t>
      </w:r>
      <w:r w:rsidR="00FA0F09" w:rsidRPr="006C15E0">
        <w:rPr>
          <w:spacing w:val="-2"/>
          <w:sz w:val="28"/>
          <w:szCs w:val="28"/>
        </w:rPr>
        <w:t xml:space="preserve">tổng </w:t>
      </w:r>
      <w:r w:rsidR="00F05A5D" w:rsidRPr="006C15E0">
        <w:rPr>
          <w:spacing w:val="-2"/>
          <w:sz w:val="28"/>
          <w:szCs w:val="28"/>
        </w:rPr>
        <w:t xml:space="preserve">lượng mưa phổ biến dưới </w:t>
      </w:r>
      <w:r w:rsidR="009D2F91" w:rsidRPr="006C15E0">
        <w:rPr>
          <w:spacing w:val="-2"/>
          <w:sz w:val="28"/>
          <w:szCs w:val="28"/>
        </w:rPr>
        <w:t>90</w:t>
      </w:r>
      <w:r w:rsidR="00F05A5D" w:rsidRPr="006C15E0">
        <w:rPr>
          <w:spacing w:val="-2"/>
          <w:sz w:val="28"/>
          <w:szCs w:val="28"/>
        </w:rPr>
        <w:t>mm</w:t>
      </w:r>
      <w:r w:rsidR="00FA0F09" w:rsidRPr="006C15E0">
        <w:rPr>
          <w:spacing w:val="-2"/>
          <w:sz w:val="28"/>
          <w:szCs w:val="28"/>
        </w:rPr>
        <w:t>. M</w:t>
      </w:r>
      <w:r w:rsidR="00ED71A0" w:rsidRPr="006C15E0">
        <w:rPr>
          <w:spacing w:val="-2"/>
          <w:sz w:val="28"/>
          <w:szCs w:val="28"/>
        </w:rPr>
        <w:t>ột số trạm có lượng mưa lớn hơn như: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545"/>
        <w:gridCol w:w="1118"/>
        <w:gridCol w:w="282"/>
        <w:gridCol w:w="3136"/>
        <w:gridCol w:w="1207"/>
      </w:tblGrid>
      <w:tr w:rsidR="006C15E0" w:rsidRPr="006C15E0" w:rsidTr="005F2A1B">
        <w:trPr>
          <w:trHeight w:val="340"/>
        </w:trPr>
        <w:tc>
          <w:tcPr>
            <w:tcW w:w="1908" w:type="pct"/>
            <w:shd w:val="clear" w:color="auto" w:fill="auto"/>
          </w:tcPr>
          <w:p w:rsidR="009D2F91" w:rsidRPr="006C15E0" w:rsidRDefault="009D2F91" w:rsidP="009D2F91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Lào Cai (Lào Cai)</w:t>
            </w:r>
          </w:p>
        </w:tc>
        <w:tc>
          <w:tcPr>
            <w:tcW w:w="602" w:type="pct"/>
            <w:shd w:val="clear" w:color="auto" w:fill="auto"/>
          </w:tcPr>
          <w:p w:rsidR="009D2F91" w:rsidRPr="006C15E0" w:rsidRDefault="009D2F91" w:rsidP="009D2F91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91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6C15E0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6C15E0" w:rsidRDefault="009D2F91" w:rsidP="009D2F91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 xml:space="preserve">Sa Pa (Lào Cai) </w:t>
            </w:r>
            <w:r w:rsidRPr="006C15E0">
              <w:rPr>
                <w:sz w:val="27"/>
                <w:szCs w:val="27"/>
              </w:rPr>
              <w:tab/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6C15E0" w:rsidRDefault="009D2F91" w:rsidP="009D2F91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124 mm</w:t>
            </w:r>
          </w:p>
        </w:tc>
      </w:tr>
      <w:tr w:rsidR="006C15E0" w:rsidRPr="006C15E0" w:rsidTr="00E33B95">
        <w:trPr>
          <w:trHeight w:val="340"/>
        </w:trPr>
        <w:tc>
          <w:tcPr>
            <w:tcW w:w="1908" w:type="pct"/>
            <w:shd w:val="clear" w:color="auto" w:fill="auto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Mường Chiềng (Hòa Bình)</w:t>
            </w:r>
          </w:p>
        </w:tc>
        <w:tc>
          <w:tcPr>
            <w:tcW w:w="602" w:type="pct"/>
            <w:shd w:val="clear" w:color="auto" w:fill="auto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 xml:space="preserve">96 </w:t>
            </w:r>
            <w:r w:rsidRPr="006C15E0">
              <w:rPr>
                <w:sz w:val="27"/>
                <w:szCs w:val="27"/>
              </w:rPr>
              <w:t>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6C15E0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Mù Cang Chải  (Yên Bái)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134 mm</w:t>
            </w:r>
          </w:p>
        </w:tc>
      </w:tr>
      <w:tr w:rsidR="006C15E0" w:rsidRPr="006C15E0" w:rsidTr="00B001FC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Tam Đảo (Vĩnh Phúc)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99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6C15E0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Tiên Yên (Quảng Ninh)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133 mm</w:t>
            </w:r>
          </w:p>
        </w:tc>
      </w:tr>
      <w:tr w:rsidR="006C15E0" w:rsidRPr="006C15E0" w:rsidTr="00E33B95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Móng Cái (Quảng Ninh)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D2F91" w:rsidRPr="006C15E0" w:rsidRDefault="009D2F91" w:rsidP="00123E0A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115 mm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9D2F91" w:rsidRPr="006C15E0" w:rsidRDefault="009D2F91" w:rsidP="003E3798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D2F91" w:rsidRPr="006C15E0" w:rsidRDefault="009D2F91" w:rsidP="003E3798">
            <w:pPr>
              <w:spacing w:line="288" w:lineRule="auto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Khâu Pạ (Yên Bái)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D2F91" w:rsidRPr="006C15E0" w:rsidRDefault="009D2F91" w:rsidP="009D2F91">
            <w:pPr>
              <w:spacing w:line="288" w:lineRule="auto"/>
              <w:jc w:val="right"/>
              <w:rPr>
                <w:sz w:val="27"/>
                <w:szCs w:val="27"/>
              </w:rPr>
            </w:pPr>
            <w:r w:rsidRPr="006C15E0">
              <w:rPr>
                <w:sz w:val="27"/>
                <w:szCs w:val="27"/>
              </w:rPr>
              <w:t>151mm</w:t>
            </w:r>
          </w:p>
        </w:tc>
      </w:tr>
    </w:tbl>
    <w:p w:rsidR="00D21ACB" w:rsidRPr="0082179F" w:rsidRDefault="00D21ACB" w:rsidP="00597F75">
      <w:pPr>
        <w:spacing w:before="120" w:line="360" w:lineRule="exact"/>
        <w:ind w:firstLine="709"/>
        <w:jc w:val="both"/>
        <w:rPr>
          <w:color w:val="FF0000"/>
          <w:sz w:val="20"/>
          <w:szCs w:val="28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8527E" w:rsidRDefault="0028527E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</w:rPr>
            </w:pPr>
          </w:p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Default="002278E3" w:rsidP="008E40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1D6C32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Default="00D21ACB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Đã ký</w:t>
            </w:r>
          </w:p>
          <w:p w:rsidR="00DB4B7C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DB4B7C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2278E3" w:rsidRPr="004B34FF" w:rsidRDefault="00397488" w:rsidP="008E4041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Văn Phú Chính</w:t>
            </w:r>
          </w:p>
        </w:tc>
      </w:tr>
    </w:tbl>
    <w:p w:rsidR="002278E3" w:rsidRDefault="002278E3"/>
    <w:sectPr w:rsidR="002278E3" w:rsidSect="0052184F">
      <w:pgSz w:w="11907" w:h="16840" w:code="9"/>
      <w:pgMar w:top="107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5CC0"/>
    <w:rsid w:val="00007D08"/>
    <w:rsid w:val="000244F1"/>
    <w:rsid w:val="00035843"/>
    <w:rsid w:val="000406D2"/>
    <w:rsid w:val="00065668"/>
    <w:rsid w:val="00066ACC"/>
    <w:rsid w:val="00067F7E"/>
    <w:rsid w:val="00080956"/>
    <w:rsid w:val="000A35D4"/>
    <w:rsid w:val="000A3F7C"/>
    <w:rsid w:val="000A40A0"/>
    <w:rsid w:val="000A59D8"/>
    <w:rsid w:val="000A7D47"/>
    <w:rsid w:val="000B2E7E"/>
    <w:rsid w:val="000B775F"/>
    <w:rsid w:val="000C1E53"/>
    <w:rsid w:val="000D0F68"/>
    <w:rsid w:val="000D4BE9"/>
    <w:rsid w:val="000D5548"/>
    <w:rsid w:val="000D5E8F"/>
    <w:rsid w:val="000D7EF3"/>
    <w:rsid w:val="000F02BD"/>
    <w:rsid w:val="000F3A72"/>
    <w:rsid w:val="0010167E"/>
    <w:rsid w:val="001059C9"/>
    <w:rsid w:val="00112BB5"/>
    <w:rsid w:val="00132BB2"/>
    <w:rsid w:val="0013342B"/>
    <w:rsid w:val="00145005"/>
    <w:rsid w:val="001453BC"/>
    <w:rsid w:val="00147D01"/>
    <w:rsid w:val="001504EC"/>
    <w:rsid w:val="00156349"/>
    <w:rsid w:val="00156C59"/>
    <w:rsid w:val="00160397"/>
    <w:rsid w:val="00161613"/>
    <w:rsid w:val="00162B4B"/>
    <w:rsid w:val="00165A5E"/>
    <w:rsid w:val="00167BB2"/>
    <w:rsid w:val="00171C74"/>
    <w:rsid w:val="00174D6D"/>
    <w:rsid w:val="00181DAD"/>
    <w:rsid w:val="00185DFC"/>
    <w:rsid w:val="001A4021"/>
    <w:rsid w:val="001A4401"/>
    <w:rsid w:val="001A4EB1"/>
    <w:rsid w:val="001A733A"/>
    <w:rsid w:val="001B297D"/>
    <w:rsid w:val="001B6C93"/>
    <w:rsid w:val="001C45EC"/>
    <w:rsid w:val="001D0BF6"/>
    <w:rsid w:val="001D1B04"/>
    <w:rsid w:val="001D2E0E"/>
    <w:rsid w:val="001D2F22"/>
    <w:rsid w:val="001D6C32"/>
    <w:rsid w:val="001E072E"/>
    <w:rsid w:val="001E1931"/>
    <w:rsid w:val="001E2D6C"/>
    <w:rsid w:val="001E7B67"/>
    <w:rsid w:val="002000B5"/>
    <w:rsid w:val="00202ABC"/>
    <w:rsid w:val="00205E05"/>
    <w:rsid w:val="00210F22"/>
    <w:rsid w:val="002137D6"/>
    <w:rsid w:val="00213EF0"/>
    <w:rsid w:val="00215A27"/>
    <w:rsid w:val="00216ACA"/>
    <w:rsid w:val="002241F9"/>
    <w:rsid w:val="00226E7C"/>
    <w:rsid w:val="002278E3"/>
    <w:rsid w:val="002347F0"/>
    <w:rsid w:val="00236E6F"/>
    <w:rsid w:val="00241195"/>
    <w:rsid w:val="0024127E"/>
    <w:rsid w:val="002725AC"/>
    <w:rsid w:val="00283F28"/>
    <w:rsid w:val="00283FFE"/>
    <w:rsid w:val="0028527E"/>
    <w:rsid w:val="00285605"/>
    <w:rsid w:val="00285F0C"/>
    <w:rsid w:val="002875BA"/>
    <w:rsid w:val="00291DD9"/>
    <w:rsid w:val="0029430A"/>
    <w:rsid w:val="002A0994"/>
    <w:rsid w:val="002A26D6"/>
    <w:rsid w:val="002A3350"/>
    <w:rsid w:val="002A53EE"/>
    <w:rsid w:val="002B5A22"/>
    <w:rsid w:val="002B6996"/>
    <w:rsid w:val="002C31E2"/>
    <w:rsid w:val="002C6FE5"/>
    <w:rsid w:val="002D151D"/>
    <w:rsid w:val="002D1A09"/>
    <w:rsid w:val="002D1DD3"/>
    <w:rsid w:val="002D2B81"/>
    <w:rsid w:val="002D506A"/>
    <w:rsid w:val="002D5B75"/>
    <w:rsid w:val="002D70E3"/>
    <w:rsid w:val="002E04DB"/>
    <w:rsid w:val="002E7A31"/>
    <w:rsid w:val="002F1654"/>
    <w:rsid w:val="002F2666"/>
    <w:rsid w:val="002F31C3"/>
    <w:rsid w:val="00300434"/>
    <w:rsid w:val="003041D7"/>
    <w:rsid w:val="00305912"/>
    <w:rsid w:val="003065CA"/>
    <w:rsid w:val="00311EC8"/>
    <w:rsid w:val="00313176"/>
    <w:rsid w:val="00314753"/>
    <w:rsid w:val="00316258"/>
    <w:rsid w:val="003233F3"/>
    <w:rsid w:val="00330CE5"/>
    <w:rsid w:val="00337CDE"/>
    <w:rsid w:val="0034215C"/>
    <w:rsid w:val="003543E4"/>
    <w:rsid w:val="0037226D"/>
    <w:rsid w:val="00377ECB"/>
    <w:rsid w:val="003847B8"/>
    <w:rsid w:val="00384D39"/>
    <w:rsid w:val="00385BB8"/>
    <w:rsid w:val="00390493"/>
    <w:rsid w:val="003924B3"/>
    <w:rsid w:val="003929BE"/>
    <w:rsid w:val="00397488"/>
    <w:rsid w:val="003A0EEE"/>
    <w:rsid w:val="003A4CB4"/>
    <w:rsid w:val="003A4F4F"/>
    <w:rsid w:val="003B1E0E"/>
    <w:rsid w:val="003B22ED"/>
    <w:rsid w:val="003B72B7"/>
    <w:rsid w:val="003C0A52"/>
    <w:rsid w:val="003C69EC"/>
    <w:rsid w:val="003D42BE"/>
    <w:rsid w:val="003E35A8"/>
    <w:rsid w:val="003E3798"/>
    <w:rsid w:val="003E5CC8"/>
    <w:rsid w:val="003F031C"/>
    <w:rsid w:val="003F1D94"/>
    <w:rsid w:val="00404B94"/>
    <w:rsid w:val="0040624F"/>
    <w:rsid w:val="00406AFB"/>
    <w:rsid w:val="004120AB"/>
    <w:rsid w:val="00412E6E"/>
    <w:rsid w:val="00424C31"/>
    <w:rsid w:val="004404FD"/>
    <w:rsid w:val="00441D24"/>
    <w:rsid w:val="004452AE"/>
    <w:rsid w:val="0045247E"/>
    <w:rsid w:val="00456BAD"/>
    <w:rsid w:val="0047054A"/>
    <w:rsid w:val="004A036B"/>
    <w:rsid w:val="004A189B"/>
    <w:rsid w:val="004A1C05"/>
    <w:rsid w:val="004A7BDC"/>
    <w:rsid w:val="004B2A77"/>
    <w:rsid w:val="004B34FF"/>
    <w:rsid w:val="004B6314"/>
    <w:rsid w:val="004C28D7"/>
    <w:rsid w:val="004D4959"/>
    <w:rsid w:val="004D6F43"/>
    <w:rsid w:val="004E23E1"/>
    <w:rsid w:val="004E4FC7"/>
    <w:rsid w:val="004E6BAA"/>
    <w:rsid w:val="004F04F2"/>
    <w:rsid w:val="004F26FE"/>
    <w:rsid w:val="005048E5"/>
    <w:rsid w:val="00505E3C"/>
    <w:rsid w:val="00506593"/>
    <w:rsid w:val="0051080D"/>
    <w:rsid w:val="0052184F"/>
    <w:rsid w:val="005224C9"/>
    <w:rsid w:val="0052752F"/>
    <w:rsid w:val="00530253"/>
    <w:rsid w:val="00535DCE"/>
    <w:rsid w:val="00540D63"/>
    <w:rsid w:val="005411E5"/>
    <w:rsid w:val="00541C3A"/>
    <w:rsid w:val="00541E7B"/>
    <w:rsid w:val="005424C4"/>
    <w:rsid w:val="00542708"/>
    <w:rsid w:val="00544674"/>
    <w:rsid w:val="00545251"/>
    <w:rsid w:val="005476FC"/>
    <w:rsid w:val="00550026"/>
    <w:rsid w:val="00552183"/>
    <w:rsid w:val="005568C0"/>
    <w:rsid w:val="0056061C"/>
    <w:rsid w:val="005620C7"/>
    <w:rsid w:val="00563D34"/>
    <w:rsid w:val="00563E70"/>
    <w:rsid w:val="00564766"/>
    <w:rsid w:val="00572912"/>
    <w:rsid w:val="00572B86"/>
    <w:rsid w:val="005747DE"/>
    <w:rsid w:val="005838D3"/>
    <w:rsid w:val="00583E15"/>
    <w:rsid w:val="00585E74"/>
    <w:rsid w:val="0059591F"/>
    <w:rsid w:val="00597F75"/>
    <w:rsid w:val="005A31B7"/>
    <w:rsid w:val="005A421A"/>
    <w:rsid w:val="005A42DC"/>
    <w:rsid w:val="005A5E9A"/>
    <w:rsid w:val="005C35ED"/>
    <w:rsid w:val="005C5B19"/>
    <w:rsid w:val="005C741C"/>
    <w:rsid w:val="005E054B"/>
    <w:rsid w:val="005E4D39"/>
    <w:rsid w:val="005E6476"/>
    <w:rsid w:val="005E6767"/>
    <w:rsid w:val="00600721"/>
    <w:rsid w:val="006021EF"/>
    <w:rsid w:val="00605BFE"/>
    <w:rsid w:val="00605C9A"/>
    <w:rsid w:val="006077B5"/>
    <w:rsid w:val="00613DD1"/>
    <w:rsid w:val="00616289"/>
    <w:rsid w:val="00626931"/>
    <w:rsid w:val="00633AF3"/>
    <w:rsid w:val="00644232"/>
    <w:rsid w:val="00646FA2"/>
    <w:rsid w:val="006471EE"/>
    <w:rsid w:val="006508D0"/>
    <w:rsid w:val="00655C92"/>
    <w:rsid w:val="006577C6"/>
    <w:rsid w:val="00663399"/>
    <w:rsid w:val="00666776"/>
    <w:rsid w:val="006833B7"/>
    <w:rsid w:val="0069023A"/>
    <w:rsid w:val="00693CB3"/>
    <w:rsid w:val="006A190E"/>
    <w:rsid w:val="006A6396"/>
    <w:rsid w:val="006A6782"/>
    <w:rsid w:val="006A7CBE"/>
    <w:rsid w:val="006B7A18"/>
    <w:rsid w:val="006C15E0"/>
    <w:rsid w:val="006C57CC"/>
    <w:rsid w:val="006C6217"/>
    <w:rsid w:val="006C7912"/>
    <w:rsid w:val="006D41F1"/>
    <w:rsid w:val="006E2338"/>
    <w:rsid w:val="006E3E67"/>
    <w:rsid w:val="006E75DC"/>
    <w:rsid w:val="006F26CC"/>
    <w:rsid w:val="00705254"/>
    <w:rsid w:val="00713A59"/>
    <w:rsid w:val="007252C4"/>
    <w:rsid w:val="00726BE7"/>
    <w:rsid w:val="00726DD0"/>
    <w:rsid w:val="007334D3"/>
    <w:rsid w:val="007366D9"/>
    <w:rsid w:val="00741BA4"/>
    <w:rsid w:val="00743AAE"/>
    <w:rsid w:val="00744F0F"/>
    <w:rsid w:val="0075006D"/>
    <w:rsid w:val="007511BA"/>
    <w:rsid w:val="0077350C"/>
    <w:rsid w:val="00786B1E"/>
    <w:rsid w:val="00792188"/>
    <w:rsid w:val="00792A01"/>
    <w:rsid w:val="00794AB4"/>
    <w:rsid w:val="007B191F"/>
    <w:rsid w:val="007C0CDB"/>
    <w:rsid w:val="007C3167"/>
    <w:rsid w:val="007D614B"/>
    <w:rsid w:val="007D755F"/>
    <w:rsid w:val="007E3A98"/>
    <w:rsid w:val="007E5AF3"/>
    <w:rsid w:val="007F0656"/>
    <w:rsid w:val="007F508D"/>
    <w:rsid w:val="007F50D7"/>
    <w:rsid w:val="007F55C4"/>
    <w:rsid w:val="00800F4C"/>
    <w:rsid w:val="008020DC"/>
    <w:rsid w:val="008102E9"/>
    <w:rsid w:val="0081358F"/>
    <w:rsid w:val="00816FF3"/>
    <w:rsid w:val="0082179F"/>
    <w:rsid w:val="0082457E"/>
    <w:rsid w:val="0083031A"/>
    <w:rsid w:val="00832503"/>
    <w:rsid w:val="008347AF"/>
    <w:rsid w:val="008361E4"/>
    <w:rsid w:val="008466F3"/>
    <w:rsid w:val="0084784E"/>
    <w:rsid w:val="00847F49"/>
    <w:rsid w:val="00853F58"/>
    <w:rsid w:val="00860CDE"/>
    <w:rsid w:val="00861D8F"/>
    <w:rsid w:val="00867F1D"/>
    <w:rsid w:val="00873BCE"/>
    <w:rsid w:val="00881070"/>
    <w:rsid w:val="0088490B"/>
    <w:rsid w:val="00886933"/>
    <w:rsid w:val="008943A1"/>
    <w:rsid w:val="008A0745"/>
    <w:rsid w:val="008A0871"/>
    <w:rsid w:val="008A1711"/>
    <w:rsid w:val="008A6DFE"/>
    <w:rsid w:val="008B3514"/>
    <w:rsid w:val="008B74B6"/>
    <w:rsid w:val="008C2955"/>
    <w:rsid w:val="008C457A"/>
    <w:rsid w:val="008C46ED"/>
    <w:rsid w:val="008C5B74"/>
    <w:rsid w:val="008C798C"/>
    <w:rsid w:val="008D3984"/>
    <w:rsid w:val="008D5C16"/>
    <w:rsid w:val="008D5F85"/>
    <w:rsid w:val="008E10A3"/>
    <w:rsid w:val="008E4EFF"/>
    <w:rsid w:val="008F1295"/>
    <w:rsid w:val="008F6001"/>
    <w:rsid w:val="009013BE"/>
    <w:rsid w:val="00914A89"/>
    <w:rsid w:val="009154F9"/>
    <w:rsid w:val="009164FF"/>
    <w:rsid w:val="00925BEA"/>
    <w:rsid w:val="00927FC8"/>
    <w:rsid w:val="00933C6C"/>
    <w:rsid w:val="00940D62"/>
    <w:rsid w:val="009453E5"/>
    <w:rsid w:val="00946BEB"/>
    <w:rsid w:val="009474F5"/>
    <w:rsid w:val="009501AB"/>
    <w:rsid w:val="00951A89"/>
    <w:rsid w:val="00952DF3"/>
    <w:rsid w:val="009774CE"/>
    <w:rsid w:val="00981134"/>
    <w:rsid w:val="0098742F"/>
    <w:rsid w:val="0098763C"/>
    <w:rsid w:val="00996678"/>
    <w:rsid w:val="009B4EF3"/>
    <w:rsid w:val="009C284F"/>
    <w:rsid w:val="009C7197"/>
    <w:rsid w:val="009D1083"/>
    <w:rsid w:val="009D2F91"/>
    <w:rsid w:val="009D547D"/>
    <w:rsid w:val="009E2B10"/>
    <w:rsid w:val="009E39C8"/>
    <w:rsid w:val="009F16EC"/>
    <w:rsid w:val="009F1E5A"/>
    <w:rsid w:val="009F1EE9"/>
    <w:rsid w:val="009F3E62"/>
    <w:rsid w:val="009F5822"/>
    <w:rsid w:val="00A0038E"/>
    <w:rsid w:val="00A04C0B"/>
    <w:rsid w:val="00A078F7"/>
    <w:rsid w:val="00A12F2E"/>
    <w:rsid w:val="00A14950"/>
    <w:rsid w:val="00A17610"/>
    <w:rsid w:val="00A253C3"/>
    <w:rsid w:val="00A363ED"/>
    <w:rsid w:val="00A3768C"/>
    <w:rsid w:val="00A50131"/>
    <w:rsid w:val="00A50255"/>
    <w:rsid w:val="00A51BA2"/>
    <w:rsid w:val="00A52E34"/>
    <w:rsid w:val="00A52F46"/>
    <w:rsid w:val="00A61B81"/>
    <w:rsid w:val="00A638B7"/>
    <w:rsid w:val="00A646DB"/>
    <w:rsid w:val="00A64EE8"/>
    <w:rsid w:val="00A67F60"/>
    <w:rsid w:val="00A73DD5"/>
    <w:rsid w:val="00A77B6B"/>
    <w:rsid w:val="00A859AD"/>
    <w:rsid w:val="00A85A7E"/>
    <w:rsid w:val="00A85E3F"/>
    <w:rsid w:val="00A86BCB"/>
    <w:rsid w:val="00A87681"/>
    <w:rsid w:val="00A8786D"/>
    <w:rsid w:val="00AA0ECC"/>
    <w:rsid w:val="00AA123A"/>
    <w:rsid w:val="00AA30BC"/>
    <w:rsid w:val="00AA54DB"/>
    <w:rsid w:val="00AA7F8A"/>
    <w:rsid w:val="00AB640B"/>
    <w:rsid w:val="00AC15CA"/>
    <w:rsid w:val="00AC34D8"/>
    <w:rsid w:val="00AD276A"/>
    <w:rsid w:val="00AE12D8"/>
    <w:rsid w:val="00AE17A4"/>
    <w:rsid w:val="00AE4326"/>
    <w:rsid w:val="00AE5132"/>
    <w:rsid w:val="00AE5D19"/>
    <w:rsid w:val="00AE7B40"/>
    <w:rsid w:val="00AE7F33"/>
    <w:rsid w:val="00AF157E"/>
    <w:rsid w:val="00AF5ED6"/>
    <w:rsid w:val="00B001FC"/>
    <w:rsid w:val="00B03880"/>
    <w:rsid w:val="00B04129"/>
    <w:rsid w:val="00B15CF8"/>
    <w:rsid w:val="00B16A92"/>
    <w:rsid w:val="00B2177B"/>
    <w:rsid w:val="00B2226F"/>
    <w:rsid w:val="00B26584"/>
    <w:rsid w:val="00B26FC6"/>
    <w:rsid w:val="00B30102"/>
    <w:rsid w:val="00B35B31"/>
    <w:rsid w:val="00B37EDD"/>
    <w:rsid w:val="00B40B36"/>
    <w:rsid w:val="00B43679"/>
    <w:rsid w:val="00B460E8"/>
    <w:rsid w:val="00B51EF7"/>
    <w:rsid w:val="00B7070B"/>
    <w:rsid w:val="00B735D5"/>
    <w:rsid w:val="00B73882"/>
    <w:rsid w:val="00B84825"/>
    <w:rsid w:val="00B872A1"/>
    <w:rsid w:val="00B877ED"/>
    <w:rsid w:val="00B979C7"/>
    <w:rsid w:val="00BA352B"/>
    <w:rsid w:val="00BA4579"/>
    <w:rsid w:val="00BA6248"/>
    <w:rsid w:val="00BA63DA"/>
    <w:rsid w:val="00BB27E4"/>
    <w:rsid w:val="00BC6356"/>
    <w:rsid w:val="00BD0337"/>
    <w:rsid w:val="00BE0F07"/>
    <w:rsid w:val="00BE432E"/>
    <w:rsid w:val="00BF0964"/>
    <w:rsid w:val="00BF49B8"/>
    <w:rsid w:val="00BF5BEF"/>
    <w:rsid w:val="00BF5C36"/>
    <w:rsid w:val="00C01735"/>
    <w:rsid w:val="00C03743"/>
    <w:rsid w:val="00C176C0"/>
    <w:rsid w:val="00C21EE8"/>
    <w:rsid w:val="00C24DEC"/>
    <w:rsid w:val="00C257D4"/>
    <w:rsid w:val="00C26698"/>
    <w:rsid w:val="00C2700E"/>
    <w:rsid w:val="00C27B77"/>
    <w:rsid w:val="00C30136"/>
    <w:rsid w:val="00C32B2B"/>
    <w:rsid w:val="00C33BB3"/>
    <w:rsid w:val="00C3665B"/>
    <w:rsid w:val="00C45CF0"/>
    <w:rsid w:val="00C5323C"/>
    <w:rsid w:val="00C61964"/>
    <w:rsid w:val="00C66C1E"/>
    <w:rsid w:val="00C709D5"/>
    <w:rsid w:val="00C75C43"/>
    <w:rsid w:val="00C806B5"/>
    <w:rsid w:val="00C85C54"/>
    <w:rsid w:val="00CA01B8"/>
    <w:rsid w:val="00CA278D"/>
    <w:rsid w:val="00CA363F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581"/>
    <w:rsid w:val="00CF4C49"/>
    <w:rsid w:val="00D10E21"/>
    <w:rsid w:val="00D15AB7"/>
    <w:rsid w:val="00D16385"/>
    <w:rsid w:val="00D215CA"/>
    <w:rsid w:val="00D21ACB"/>
    <w:rsid w:val="00D2369D"/>
    <w:rsid w:val="00D24612"/>
    <w:rsid w:val="00D24A60"/>
    <w:rsid w:val="00D37CDF"/>
    <w:rsid w:val="00D46B7F"/>
    <w:rsid w:val="00D50E1D"/>
    <w:rsid w:val="00D5379B"/>
    <w:rsid w:val="00D53936"/>
    <w:rsid w:val="00D55F61"/>
    <w:rsid w:val="00D64EB0"/>
    <w:rsid w:val="00D6582A"/>
    <w:rsid w:val="00D66F13"/>
    <w:rsid w:val="00D7145E"/>
    <w:rsid w:val="00D73C2C"/>
    <w:rsid w:val="00D82AB2"/>
    <w:rsid w:val="00D83D92"/>
    <w:rsid w:val="00D85755"/>
    <w:rsid w:val="00D92D97"/>
    <w:rsid w:val="00DA1E1F"/>
    <w:rsid w:val="00DA3699"/>
    <w:rsid w:val="00DB16BA"/>
    <w:rsid w:val="00DB4B7C"/>
    <w:rsid w:val="00DB6820"/>
    <w:rsid w:val="00DC2488"/>
    <w:rsid w:val="00DC3482"/>
    <w:rsid w:val="00DC5B5D"/>
    <w:rsid w:val="00DE1A6B"/>
    <w:rsid w:val="00DE215D"/>
    <w:rsid w:val="00DF4119"/>
    <w:rsid w:val="00DF5BB7"/>
    <w:rsid w:val="00E0061C"/>
    <w:rsid w:val="00E030A2"/>
    <w:rsid w:val="00E11016"/>
    <w:rsid w:val="00E1162C"/>
    <w:rsid w:val="00E14DC5"/>
    <w:rsid w:val="00E211C8"/>
    <w:rsid w:val="00E23358"/>
    <w:rsid w:val="00E238C9"/>
    <w:rsid w:val="00E3438F"/>
    <w:rsid w:val="00E34B8D"/>
    <w:rsid w:val="00E3576A"/>
    <w:rsid w:val="00E35CAC"/>
    <w:rsid w:val="00E47513"/>
    <w:rsid w:val="00E5226E"/>
    <w:rsid w:val="00E532F6"/>
    <w:rsid w:val="00E5591C"/>
    <w:rsid w:val="00E63000"/>
    <w:rsid w:val="00E64EC1"/>
    <w:rsid w:val="00E674AF"/>
    <w:rsid w:val="00E676F7"/>
    <w:rsid w:val="00E71C0D"/>
    <w:rsid w:val="00E938B6"/>
    <w:rsid w:val="00E95B22"/>
    <w:rsid w:val="00EA6D0F"/>
    <w:rsid w:val="00EC35B3"/>
    <w:rsid w:val="00EC49C7"/>
    <w:rsid w:val="00EC6980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2FA4"/>
    <w:rsid w:val="00EF27D7"/>
    <w:rsid w:val="00EF5167"/>
    <w:rsid w:val="00EF62AC"/>
    <w:rsid w:val="00EF76B3"/>
    <w:rsid w:val="00F013BA"/>
    <w:rsid w:val="00F01B8D"/>
    <w:rsid w:val="00F02944"/>
    <w:rsid w:val="00F03094"/>
    <w:rsid w:val="00F049D8"/>
    <w:rsid w:val="00F05A5D"/>
    <w:rsid w:val="00F10532"/>
    <w:rsid w:val="00F1516B"/>
    <w:rsid w:val="00F20D08"/>
    <w:rsid w:val="00F23AF8"/>
    <w:rsid w:val="00F36617"/>
    <w:rsid w:val="00F36C55"/>
    <w:rsid w:val="00F37C0D"/>
    <w:rsid w:val="00F40032"/>
    <w:rsid w:val="00F41329"/>
    <w:rsid w:val="00F5251B"/>
    <w:rsid w:val="00F6029A"/>
    <w:rsid w:val="00F614A9"/>
    <w:rsid w:val="00F7739D"/>
    <w:rsid w:val="00F77E5A"/>
    <w:rsid w:val="00F81034"/>
    <w:rsid w:val="00F85743"/>
    <w:rsid w:val="00F9167E"/>
    <w:rsid w:val="00FA0031"/>
    <w:rsid w:val="00FA0F09"/>
    <w:rsid w:val="00FA7BCD"/>
    <w:rsid w:val="00FB08D2"/>
    <w:rsid w:val="00FC1819"/>
    <w:rsid w:val="00FC1C96"/>
    <w:rsid w:val="00FC7B7B"/>
    <w:rsid w:val="00FD4B64"/>
    <w:rsid w:val="00FF2643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E6AC0-1022-4E28-A4F7-9006CAF04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07C2A-DE2B-4CDE-B240-D8B65EFB3A20}"/>
</file>

<file path=customXml/itemProps3.xml><?xml version="1.0" encoding="utf-8"?>
<ds:datastoreItem xmlns:ds="http://schemas.openxmlformats.org/officeDocument/2006/customXml" ds:itemID="{5E2DD5F6-2D58-437E-867D-F6F6334997AC}"/>
</file>

<file path=customXml/itemProps4.xml><?xml version="1.0" encoding="utf-8"?>
<ds:datastoreItem xmlns:ds="http://schemas.openxmlformats.org/officeDocument/2006/customXml" ds:itemID="{F9D9CF44-4E43-49F2-BF7B-B703E9A80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51</cp:revision>
  <cp:lastPrinted>2015-05-17T00:56:00Z</cp:lastPrinted>
  <dcterms:created xsi:type="dcterms:W3CDTF">2015-05-16T11:47:00Z</dcterms:created>
  <dcterms:modified xsi:type="dcterms:W3CDTF">2015-05-17T00:58:00Z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